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D2" w:rsidRDefault="006D5ED2" w:rsidP="003169E3">
      <w:pPr>
        <w:jc w:val="center"/>
        <w:rPr>
          <w:b/>
          <w:color w:val="002060"/>
          <w:sz w:val="28"/>
          <w:szCs w:val="28"/>
          <w:lang w:val="mk-MK"/>
        </w:rPr>
      </w:pPr>
      <w:r w:rsidRPr="00C16E24">
        <w:rPr>
          <w:b/>
          <w:color w:val="002060"/>
          <w:sz w:val="28"/>
          <w:szCs w:val="28"/>
          <w:lang w:val="mk-MK"/>
        </w:rPr>
        <w:t>ЛИСТА ЗА ПРОВЕРКА</w:t>
      </w:r>
    </w:p>
    <w:p w:rsidR="006D5ED2" w:rsidRPr="00C16E24" w:rsidRDefault="006D5ED2" w:rsidP="003169E3">
      <w:pPr>
        <w:jc w:val="center"/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>- скратена верзија -</w:t>
      </w:r>
    </w:p>
    <w:p w:rsidR="006D5ED2" w:rsidRPr="00BF6A54" w:rsidRDefault="006D5ED2" w:rsidP="003169E3">
      <w:pPr>
        <w:rPr>
          <w:b/>
          <w:lang w:val="mk-MK"/>
        </w:rPr>
      </w:pPr>
    </w:p>
    <w:p w:rsidR="006D5ED2" w:rsidRPr="00650221" w:rsidRDefault="006D5ED2" w:rsidP="00C44620">
      <w:pPr>
        <w:shd w:val="clear" w:color="auto" w:fill="D9E2F3"/>
        <w:rPr>
          <w:b/>
          <w:color w:val="C00000"/>
          <w:u w:val="single"/>
          <w:lang w:val="mk-MK"/>
        </w:rPr>
      </w:pPr>
      <w:r>
        <w:rPr>
          <w:b/>
          <w:color w:val="C00000"/>
          <w:lang w:val="mk-MK"/>
        </w:rPr>
        <w:t xml:space="preserve">Назив на закон: </w:t>
      </w:r>
      <w:r>
        <w:rPr>
          <w:b/>
          <w:color w:val="C00000"/>
          <w:lang w:val="mk-MK"/>
        </w:rPr>
        <w:tab/>
      </w:r>
      <w:r w:rsidRPr="007A3F8A">
        <w:rPr>
          <w:b/>
          <w:color w:val="C00000"/>
          <w:lang w:val="mk-MK"/>
        </w:rPr>
        <w:t xml:space="preserve">ЗАКОНОТ ЗА  </w:t>
      </w:r>
      <w:r w:rsidR="00D66D9C">
        <w:rPr>
          <w:b/>
          <w:color w:val="C00000"/>
          <w:lang w:val="en-US"/>
        </w:rPr>
        <w:t xml:space="preserve">СПРЕЧУВАЊЕ И ЗАШТИТА ОД </w:t>
      </w:r>
      <w:r w:rsidR="00D66D9C">
        <w:rPr>
          <w:b/>
          <w:color w:val="C00000"/>
          <w:lang w:val="mk-MK"/>
        </w:rPr>
        <w:t>Н</w:t>
      </w:r>
      <w:r w:rsidR="00650221">
        <w:rPr>
          <w:b/>
          <w:color w:val="C00000"/>
          <w:lang w:val="en-US"/>
        </w:rPr>
        <w:t>АСИЛСТВО ВРЗ ЖЕНИТЕ И СЕМЕЈНОТО НАСИЛСТВО</w:t>
      </w:r>
    </w:p>
    <w:p w:rsidR="006D5ED2" w:rsidRDefault="006D5ED2" w:rsidP="00C44620">
      <w:pPr>
        <w:shd w:val="clear" w:color="auto" w:fill="D9E2F3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t>Субјекти на надзор:</w:t>
      </w:r>
      <w:r>
        <w:rPr>
          <w:b/>
          <w:color w:val="C00000"/>
          <w:lang w:val="mk-MK"/>
        </w:rPr>
        <w:tab/>
        <w:t>ЈУ  Центри за социјална работа</w:t>
      </w:r>
      <w:r>
        <w:rPr>
          <w:b/>
          <w:color w:val="C00000"/>
          <w:lang w:val="mk-MK"/>
        </w:rPr>
        <w:tab/>
      </w:r>
      <w:r>
        <w:rPr>
          <w:b/>
          <w:color w:val="C00000"/>
          <w:lang w:val="mk-MK"/>
        </w:rPr>
        <w:tab/>
      </w:r>
      <w:r>
        <w:rPr>
          <w:b/>
          <w:color w:val="C00000"/>
          <w:lang w:val="mk-MK"/>
        </w:rPr>
        <w:tab/>
      </w:r>
    </w:p>
    <w:p w:rsidR="006D5ED2" w:rsidRDefault="006D5ED2" w:rsidP="00C44620">
      <w:pPr>
        <w:shd w:val="clear" w:color="auto" w:fill="DAEEF3"/>
        <w:rPr>
          <w:b/>
          <w:color w:val="C00000"/>
          <w:u w:val="single"/>
          <w:lang w:val="mk-MK"/>
        </w:rPr>
      </w:pPr>
      <w:r>
        <w:rPr>
          <w:b/>
          <w:color w:val="C00000"/>
          <w:lang w:val="mk-MK"/>
        </w:rPr>
        <w:t xml:space="preserve">Надлежна инспекциска служба:Министерство за труд и социјална политика-Сектор за инспекциски надзор </w:t>
      </w:r>
      <w:r w:rsidR="00A66AE2">
        <w:rPr>
          <w:b/>
          <w:color w:val="C00000"/>
          <w:lang w:val="mk-MK"/>
        </w:rPr>
        <w:t>во</w:t>
      </w:r>
      <w:r>
        <w:rPr>
          <w:b/>
          <w:color w:val="C00000"/>
          <w:lang w:val="mk-MK"/>
        </w:rPr>
        <w:t xml:space="preserve"> областа на  социјалната заштита и заштитата на децата. </w:t>
      </w:r>
    </w:p>
    <w:p w:rsidR="006D5ED2" w:rsidRDefault="006D5ED2" w:rsidP="00C44620">
      <w:pPr>
        <w:shd w:val="clear" w:color="auto" w:fill="D9E2F3"/>
        <w:rPr>
          <w:b/>
          <w:color w:val="C00000"/>
          <w:u w:val="single"/>
          <w:lang w:val="mk-MK"/>
        </w:rPr>
      </w:pPr>
      <w:r>
        <w:rPr>
          <w:b/>
          <w:color w:val="C00000"/>
          <w:lang w:val="mk-MK"/>
        </w:rPr>
        <w:tab/>
      </w:r>
    </w:p>
    <w:p w:rsidR="006D5ED2" w:rsidRPr="00BF6A54" w:rsidRDefault="006D5ED2" w:rsidP="003169E3">
      <w:pPr>
        <w:shd w:val="clear" w:color="auto" w:fill="D9E2F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ab/>
      </w:r>
      <w:r>
        <w:rPr>
          <w:b/>
          <w:color w:val="C00000"/>
          <w:lang w:val="mk-MK"/>
        </w:rPr>
        <w:tab/>
      </w:r>
    </w:p>
    <w:p w:rsidR="006D5ED2" w:rsidRDefault="006D5ED2">
      <w:pPr>
        <w:spacing w:line="259" w:lineRule="auto"/>
        <w:rPr>
          <w:b/>
          <w:color w:val="C00000"/>
          <w:lang w:val="mk-MK"/>
        </w:rPr>
      </w:pPr>
    </w:p>
    <w:p w:rsidR="006D5ED2" w:rsidRPr="00C16E24" w:rsidRDefault="006D5ED2" w:rsidP="00C16E24">
      <w:pPr>
        <w:jc w:val="both"/>
        <w:rPr>
          <w:rFonts w:cs="Calibri"/>
          <w:b/>
          <w:bCs/>
          <w:color w:val="C00000"/>
          <w:lang w:val="mk-MK"/>
        </w:rPr>
      </w:pPr>
      <w:r w:rsidRPr="00C16E24">
        <w:rPr>
          <w:rFonts w:cs="Calibri"/>
          <w:b/>
          <w:bCs/>
          <w:color w:val="C00000"/>
          <w:lang w:val="mk-MK"/>
        </w:rPr>
        <w:t>Податоци за субјектот на надзор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9306"/>
      </w:tblGrid>
      <w:tr w:rsidR="006D5ED2" w:rsidRPr="00FF6026" w:rsidTr="00FF6026">
        <w:tc>
          <w:tcPr>
            <w:tcW w:w="4248" w:type="dxa"/>
          </w:tcPr>
          <w:p w:rsidR="006D5ED2" w:rsidRPr="00FF6026" w:rsidRDefault="006D5ED2" w:rsidP="00FF6026">
            <w:pPr>
              <w:spacing w:after="0" w:line="259" w:lineRule="auto"/>
              <w:rPr>
                <w:b/>
                <w:bCs/>
                <w:color w:val="C00000"/>
                <w:lang w:val="mk-MK"/>
              </w:rPr>
            </w:pPr>
            <w:r w:rsidRPr="00FF6026">
              <w:rPr>
                <w:rFonts w:cs="Calibr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6D5ED2" w:rsidRPr="00FF6026" w:rsidRDefault="006D5ED2" w:rsidP="00FF6026">
            <w:pPr>
              <w:spacing w:after="0" w:line="259" w:lineRule="auto"/>
              <w:rPr>
                <w:b/>
                <w:color w:val="C00000"/>
                <w:lang w:val="mk-MK"/>
              </w:rPr>
            </w:pPr>
          </w:p>
        </w:tc>
      </w:tr>
      <w:tr w:rsidR="006D5ED2" w:rsidRPr="00FF6026" w:rsidTr="00FF6026">
        <w:tc>
          <w:tcPr>
            <w:tcW w:w="4248" w:type="dxa"/>
          </w:tcPr>
          <w:p w:rsidR="006D5ED2" w:rsidRPr="00FF6026" w:rsidRDefault="006D5ED2" w:rsidP="00FF6026">
            <w:pPr>
              <w:spacing w:after="0" w:line="259" w:lineRule="auto"/>
              <w:rPr>
                <w:b/>
                <w:bCs/>
                <w:color w:val="C00000"/>
                <w:lang w:val="mk-MK"/>
              </w:rPr>
            </w:pPr>
            <w:r w:rsidRPr="00FF6026">
              <w:rPr>
                <w:rFonts w:cs="Calibr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6D5ED2" w:rsidRPr="00FF6026" w:rsidRDefault="006D5ED2" w:rsidP="00FF6026">
            <w:pPr>
              <w:spacing w:after="0" w:line="259" w:lineRule="auto"/>
              <w:rPr>
                <w:b/>
                <w:color w:val="C00000"/>
                <w:lang w:val="mk-MK"/>
              </w:rPr>
            </w:pPr>
          </w:p>
        </w:tc>
      </w:tr>
      <w:tr w:rsidR="006D5ED2" w:rsidRPr="00FF6026" w:rsidTr="00FF6026">
        <w:tc>
          <w:tcPr>
            <w:tcW w:w="4248" w:type="dxa"/>
          </w:tcPr>
          <w:p w:rsidR="006D5ED2" w:rsidRPr="00FF6026" w:rsidRDefault="006D5ED2" w:rsidP="00FF6026">
            <w:pPr>
              <w:spacing w:after="0" w:line="259" w:lineRule="auto"/>
              <w:rPr>
                <w:b/>
                <w:bCs/>
                <w:color w:val="C00000"/>
                <w:lang w:val="mk-MK"/>
              </w:rPr>
            </w:pPr>
            <w:r w:rsidRPr="00FF6026">
              <w:rPr>
                <w:rFonts w:cs="Calibr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6D5ED2" w:rsidRPr="00FF6026" w:rsidRDefault="006D5ED2" w:rsidP="00FF6026">
            <w:pPr>
              <w:spacing w:after="0" w:line="259" w:lineRule="auto"/>
              <w:rPr>
                <w:b/>
                <w:color w:val="C00000"/>
                <w:lang w:val="mk-MK"/>
              </w:rPr>
            </w:pPr>
          </w:p>
        </w:tc>
      </w:tr>
      <w:tr w:rsidR="006D5ED2" w:rsidRPr="00FF6026" w:rsidTr="00FF6026">
        <w:tc>
          <w:tcPr>
            <w:tcW w:w="4248" w:type="dxa"/>
          </w:tcPr>
          <w:p w:rsidR="006D5ED2" w:rsidRPr="00FF6026" w:rsidRDefault="006D5ED2" w:rsidP="00FF6026">
            <w:pPr>
              <w:spacing w:after="0" w:line="259" w:lineRule="auto"/>
              <w:rPr>
                <w:b/>
                <w:bCs/>
                <w:color w:val="C00000"/>
                <w:lang w:val="mk-MK"/>
              </w:rPr>
            </w:pPr>
            <w:r w:rsidRPr="00FF6026">
              <w:rPr>
                <w:rFonts w:cs="Calibr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6D5ED2" w:rsidRPr="00FF6026" w:rsidRDefault="006D5ED2" w:rsidP="00FF6026">
            <w:pPr>
              <w:spacing w:after="0" w:line="259" w:lineRule="auto"/>
              <w:rPr>
                <w:b/>
                <w:color w:val="C00000"/>
                <w:lang w:val="mk-MK"/>
              </w:rPr>
            </w:pPr>
          </w:p>
        </w:tc>
      </w:tr>
      <w:tr w:rsidR="006D5ED2" w:rsidRPr="00FF6026" w:rsidTr="00FF6026">
        <w:tc>
          <w:tcPr>
            <w:tcW w:w="4248" w:type="dxa"/>
          </w:tcPr>
          <w:p w:rsidR="006D5ED2" w:rsidRPr="00FF6026" w:rsidRDefault="006D5ED2" w:rsidP="00FF6026">
            <w:pPr>
              <w:spacing w:after="0" w:line="259" w:lineRule="auto"/>
              <w:rPr>
                <w:b/>
                <w:bCs/>
                <w:color w:val="C00000"/>
                <w:lang w:val="mk-MK"/>
              </w:rPr>
            </w:pPr>
            <w:r w:rsidRPr="00FF6026">
              <w:rPr>
                <w:rFonts w:cs="Calibr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6D5ED2" w:rsidRPr="00FF6026" w:rsidRDefault="006D5ED2" w:rsidP="00FF6026">
            <w:pPr>
              <w:spacing w:after="0"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6D5ED2" w:rsidRDefault="006D5ED2">
      <w:pPr>
        <w:spacing w:line="259" w:lineRule="auto"/>
        <w:rPr>
          <w:b/>
          <w:color w:val="C00000"/>
          <w:lang w:val="mk-MK"/>
        </w:rPr>
      </w:pPr>
    </w:p>
    <w:p w:rsidR="006D5ED2" w:rsidRDefault="006D5ED2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t>Податоци за инспекцискиот надзор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9306"/>
      </w:tblGrid>
      <w:tr w:rsidR="006D5ED2" w:rsidRPr="00FF6026" w:rsidTr="00FF6026">
        <w:tc>
          <w:tcPr>
            <w:tcW w:w="4248" w:type="dxa"/>
          </w:tcPr>
          <w:p w:rsidR="006D5ED2" w:rsidRPr="00FF6026" w:rsidRDefault="006D5ED2" w:rsidP="00FF6026">
            <w:pPr>
              <w:spacing w:after="0"/>
              <w:jc w:val="both"/>
              <w:rPr>
                <w:rFonts w:cs="Calibri"/>
                <w:b/>
                <w:bCs/>
                <w:lang w:val="mk-MK"/>
              </w:rPr>
            </w:pPr>
            <w:r w:rsidRPr="00FF6026">
              <w:rPr>
                <w:rFonts w:cs="Calibr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6D5ED2" w:rsidRPr="00FF6026" w:rsidRDefault="006D5ED2" w:rsidP="00FF6026">
            <w:pPr>
              <w:spacing w:after="0" w:line="259" w:lineRule="auto"/>
              <w:rPr>
                <w:b/>
                <w:color w:val="C00000"/>
                <w:lang w:val="mk-MK"/>
              </w:rPr>
            </w:pPr>
          </w:p>
        </w:tc>
      </w:tr>
      <w:tr w:rsidR="006D5ED2" w:rsidRPr="00FF6026" w:rsidTr="00FF6026">
        <w:tc>
          <w:tcPr>
            <w:tcW w:w="4248" w:type="dxa"/>
          </w:tcPr>
          <w:p w:rsidR="006D5ED2" w:rsidRPr="00FF6026" w:rsidRDefault="006D5ED2" w:rsidP="00FF6026">
            <w:pPr>
              <w:spacing w:after="0"/>
              <w:jc w:val="both"/>
              <w:rPr>
                <w:rFonts w:cs="Calibri"/>
                <w:b/>
                <w:bCs/>
                <w:lang w:val="mk-MK"/>
              </w:rPr>
            </w:pPr>
            <w:r w:rsidRPr="00FF6026">
              <w:rPr>
                <w:rFonts w:cs="Calibr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6D5ED2" w:rsidRPr="00FF6026" w:rsidRDefault="006D5ED2" w:rsidP="00FF6026">
            <w:pPr>
              <w:spacing w:after="0" w:line="259" w:lineRule="auto"/>
              <w:rPr>
                <w:b/>
                <w:color w:val="C00000"/>
                <w:lang w:val="mk-MK"/>
              </w:rPr>
            </w:pPr>
          </w:p>
        </w:tc>
      </w:tr>
      <w:tr w:rsidR="006D5ED2" w:rsidRPr="00FF6026" w:rsidTr="00FF6026">
        <w:tc>
          <w:tcPr>
            <w:tcW w:w="4248" w:type="dxa"/>
          </w:tcPr>
          <w:p w:rsidR="006D5ED2" w:rsidRPr="00FF6026" w:rsidRDefault="006D5ED2" w:rsidP="00FF6026">
            <w:pPr>
              <w:spacing w:after="0"/>
              <w:jc w:val="both"/>
              <w:rPr>
                <w:rFonts w:cs="Calibri"/>
                <w:b/>
                <w:bCs/>
                <w:lang w:val="mk-MK"/>
              </w:rPr>
            </w:pPr>
            <w:r w:rsidRPr="00FF6026">
              <w:rPr>
                <w:rFonts w:cs="Calibr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9306" w:type="dxa"/>
          </w:tcPr>
          <w:p w:rsidR="006D5ED2" w:rsidRPr="00FF6026" w:rsidRDefault="006D5ED2" w:rsidP="00FF6026">
            <w:pPr>
              <w:spacing w:after="0"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6D5ED2" w:rsidRDefault="006D5ED2">
      <w:pPr>
        <w:spacing w:line="259" w:lineRule="auto"/>
        <w:rPr>
          <w:b/>
          <w:color w:val="C00000"/>
          <w:lang w:val="mk-MK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86"/>
        <w:gridCol w:w="3757"/>
      </w:tblGrid>
      <w:tr w:rsidR="006D5ED2" w:rsidRPr="00FF6026" w:rsidTr="00FF6026">
        <w:tc>
          <w:tcPr>
            <w:tcW w:w="3613" w:type="pct"/>
            <w:shd w:val="clear" w:color="auto" w:fill="FFFFFF"/>
          </w:tcPr>
          <w:p w:rsidR="006D5ED2" w:rsidRPr="00FF6026" w:rsidRDefault="006D5ED2" w:rsidP="00FF6026">
            <w:pPr>
              <w:shd w:val="clear" w:color="auto" w:fill="FFFFFF"/>
              <w:spacing w:before="120" w:after="120" w:line="276" w:lineRule="auto"/>
              <w:rPr>
                <w:b/>
                <w:lang w:val="mk-MK"/>
              </w:rPr>
            </w:pPr>
            <w:bookmarkStart w:id="0" w:name="_GoBack"/>
            <w:bookmarkEnd w:id="0"/>
            <w:r w:rsidRPr="00FF6026">
              <w:rPr>
                <w:b/>
                <w:lang w:val="mk-MK"/>
              </w:rPr>
              <w:lastRenderedPageBreak/>
              <w:t>Законска обврска / барање</w:t>
            </w:r>
          </w:p>
        </w:tc>
        <w:tc>
          <w:tcPr>
            <w:tcW w:w="1387" w:type="pct"/>
            <w:shd w:val="clear" w:color="auto" w:fill="FFFFFF"/>
          </w:tcPr>
          <w:p w:rsidR="006D5ED2" w:rsidRPr="00FF6026" w:rsidRDefault="006D5ED2" w:rsidP="00FF6026">
            <w:pPr>
              <w:shd w:val="clear" w:color="auto" w:fill="FFFFFF"/>
              <w:spacing w:before="120" w:after="120" w:line="276" w:lineRule="auto"/>
              <w:rPr>
                <w:b/>
                <w:lang w:val="mk-MK"/>
              </w:rPr>
            </w:pPr>
            <w:r w:rsidRPr="00FF6026">
              <w:rPr>
                <w:b/>
                <w:lang w:val="mk-MK"/>
              </w:rPr>
              <w:t>Усогласеност</w:t>
            </w:r>
          </w:p>
        </w:tc>
      </w:tr>
      <w:tr w:rsidR="006D5ED2" w:rsidRPr="00FF6026" w:rsidTr="00FF6026">
        <w:tc>
          <w:tcPr>
            <w:tcW w:w="5000" w:type="pct"/>
            <w:gridSpan w:val="2"/>
            <w:shd w:val="clear" w:color="auto" w:fill="FFFFFF"/>
          </w:tcPr>
          <w:p w:rsidR="006D5ED2" w:rsidRPr="00FF6026" w:rsidRDefault="006D5ED2" w:rsidP="00FF6026">
            <w:pPr>
              <w:shd w:val="clear" w:color="auto" w:fill="FFFFFF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FF6026">
              <w:rPr>
                <w:b/>
                <w:lang w:val="mk-MK"/>
              </w:rPr>
              <w:t>Назив на глава / оддел од прописот</w:t>
            </w:r>
            <w:r w:rsidRPr="00FF6026">
              <w:rPr>
                <w:b/>
                <w:lang w:val="en-US"/>
              </w:rPr>
              <w:t>: _____________________________________</w:t>
            </w:r>
          </w:p>
        </w:tc>
      </w:tr>
      <w:tr w:rsidR="00D94F69" w:rsidRPr="00FF6026" w:rsidTr="00FF6026">
        <w:tc>
          <w:tcPr>
            <w:tcW w:w="3613" w:type="pct"/>
            <w:shd w:val="clear" w:color="auto" w:fill="FFFFFF"/>
          </w:tcPr>
          <w:p w:rsidR="00D94F69" w:rsidRPr="003139D7" w:rsidRDefault="00D94F69" w:rsidP="00D94F6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>Дали одговорното лице и раководното лице од институцијата која врши дејност на социјалната и детската, пријавиле сознание за постоење  на родово-базирано насилство врз жените и семејно насилство до полициска станица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, согласно ч</w:t>
            </w:r>
            <w:r w:rsidRPr="00FF5E9C">
              <w:rPr>
                <w:rFonts w:ascii="StobiSerif Regular" w:hAnsi="StobiSerif Regular"/>
                <w:sz w:val="20"/>
                <w:szCs w:val="20"/>
                <w:lang w:val="mk-MK"/>
              </w:rPr>
              <w:t>лен 41 од</w:t>
            </w:r>
            <w:r w:rsidRPr="00F15371">
              <w:rPr>
                <w:rFonts w:ascii="StobiSerif Regular" w:hAnsi="StobiSerif Regular"/>
                <w:lang w:val="mk-MK"/>
              </w:rPr>
              <w:t xml:space="preserve"> </w:t>
            </w:r>
            <w:r w:rsidRPr="00FF5E9C">
              <w:rPr>
                <w:rFonts w:ascii="StobiSerif Regular" w:hAnsi="StobiSerif Regular"/>
                <w:sz w:val="20"/>
                <w:szCs w:val="20"/>
                <w:lang w:val="mk-MK"/>
              </w:rPr>
              <w:t>Законот за  спречување и заштита од насилство врз жените и семејното насилство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387" w:type="pct"/>
            <w:shd w:val="clear" w:color="auto" w:fill="FFFFFF"/>
          </w:tcPr>
          <w:p w:rsidR="00D94F69" w:rsidRPr="00536D10" w:rsidRDefault="00D94F69" w:rsidP="004545A5">
            <w:pPr>
              <w:shd w:val="clear" w:color="auto" w:fill="FFFFFF" w:themeFill="background1"/>
              <w:spacing w:before="120" w:after="120" w:line="276" w:lineRule="auto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D94F69" w:rsidRPr="00FF6026" w:rsidTr="00FF6026">
        <w:tc>
          <w:tcPr>
            <w:tcW w:w="3613" w:type="pct"/>
            <w:shd w:val="clear" w:color="auto" w:fill="FFFFFF"/>
          </w:tcPr>
          <w:p w:rsidR="00D94F69" w:rsidRPr="00536D10" w:rsidRDefault="00D94F69" w:rsidP="00D94F69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Дали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Центар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за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социјална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работа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ја започнал постапката веднаш, а најдоцна во рок од 12 часа од добиеното сознание дека е сторено родово-базирано насилство врз жена или семејно насилство и дали преземал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мерки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за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заштита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на жртвата,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согласно со проценката на ризик, согласно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>член 45 став 1 од Законот</w:t>
            </w:r>
          </w:p>
        </w:tc>
        <w:tc>
          <w:tcPr>
            <w:tcW w:w="1387" w:type="pct"/>
            <w:shd w:val="clear" w:color="auto" w:fill="FFFFFF"/>
          </w:tcPr>
          <w:p w:rsidR="00D94F69" w:rsidRPr="00536D10" w:rsidRDefault="00D94F69" w:rsidP="00D94F69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D94F69" w:rsidRPr="00FF6026" w:rsidTr="00FF6026">
        <w:tc>
          <w:tcPr>
            <w:tcW w:w="3613" w:type="pct"/>
            <w:shd w:val="clear" w:color="auto" w:fill="FFFFFF"/>
          </w:tcPr>
          <w:p w:rsidR="00D94F69" w:rsidRPr="00536D10" w:rsidRDefault="00D94F69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Дали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Центар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за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социјална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работа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во случаи кога како жртва се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>ја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вува дете или лице кое не е во сотојба да се грижи за себе или лице со ограничена или одземена деловна способност,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преземал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мерки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за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заштита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, без оглед дали постои согласност на родителот или старателот, согласно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>член 45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3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од Законот</w:t>
            </w:r>
          </w:p>
        </w:tc>
        <w:tc>
          <w:tcPr>
            <w:tcW w:w="1387" w:type="pct"/>
            <w:shd w:val="clear" w:color="auto" w:fill="FFFFFF"/>
          </w:tcPr>
          <w:p w:rsidR="00D94F69" w:rsidRPr="00536D10" w:rsidRDefault="00D94F69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D94F69" w:rsidRPr="00FF6026" w:rsidTr="00FF6026">
        <w:tc>
          <w:tcPr>
            <w:tcW w:w="3613" w:type="pct"/>
            <w:shd w:val="clear" w:color="auto" w:fill="FFFFFF"/>
          </w:tcPr>
          <w:p w:rsidR="00D94F69" w:rsidRPr="00536D10" w:rsidRDefault="00D94F69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Дали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Центар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от</w:t>
            </w:r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за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социјална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работа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преземал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мерки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за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заштита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на жртвата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предвидени во овој член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,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согласно член 46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 од Законот</w:t>
            </w:r>
          </w:p>
        </w:tc>
        <w:tc>
          <w:tcPr>
            <w:tcW w:w="1387" w:type="pct"/>
            <w:shd w:val="clear" w:color="auto" w:fill="FFFFFF"/>
          </w:tcPr>
          <w:p w:rsidR="00D94F69" w:rsidRPr="00536D10" w:rsidRDefault="00D94F69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2C42CF" w:rsidRPr="00FF6026" w:rsidTr="00FF6026">
        <w:tc>
          <w:tcPr>
            <w:tcW w:w="3613" w:type="pct"/>
            <w:shd w:val="clear" w:color="auto" w:fill="FFFFFF"/>
          </w:tcPr>
          <w:p w:rsidR="002C42CF" w:rsidRDefault="002C42CF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Дали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Центар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от</w:t>
            </w:r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за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социјална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работа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кога како жртва се јавува дете или лице кое не е во состојба да се грижи за себе или лице на кое му е ограничена или одземена деловната способност, покрај мерките од членот 46 на законот, презема и мерки согласно со Законот за семејството кои се однесуваат на уредување на односите на родителите и децата, надзор над вршењето на родителсото право и старателството и согласно со Законот за правда на децата.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преземал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мерки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за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заштита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на жртвата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предвидени во овој член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,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согласно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член 47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1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од Законот</w:t>
            </w:r>
          </w:p>
        </w:tc>
        <w:tc>
          <w:tcPr>
            <w:tcW w:w="1387" w:type="pct"/>
            <w:shd w:val="clear" w:color="auto" w:fill="FFFFFF"/>
          </w:tcPr>
          <w:p w:rsidR="002C42CF" w:rsidRPr="00FF6026" w:rsidRDefault="002C42CF" w:rsidP="002159C3">
            <w:pPr>
              <w:jc w:val="both"/>
              <w:rPr>
                <w:bCs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D94F69" w:rsidRPr="00FF6026" w:rsidTr="00FF6026">
        <w:tc>
          <w:tcPr>
            <w:tcW w:w="3613" w:type="pct"/>
            <w:shd w:val="clear" w:color="auto" w:fill="FFFFFF"/>
          </w:tcPr>
          <w:p w:rsidR="00D94F69" w:rsidRPr="00536D10" w:rsidRDefault="00D94F69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Дали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Центар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от</w:t>
            </w:r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за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социјална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работа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во постапката за доверување на детето кај еден од родителите, го зема во предвид интересот на детето, на начин што внимава да не ги загрозува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 xml:space="preserve">правата и безбедноста на жртвата и/или на децата, согласно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член 47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2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од Законот</w:t>
            </w:r>
          </w:p>
        </w:tc>
        <w:tc>
          <w:tcPr>
            <w:tcW w:w="1387" w:type="pct"/>
            <w:shd w:val="clear" w:color="auto" w:fill="FFFFFF"/>
          </w:tcPr>
          <w:p w:rsidR="00D94F69" w:rsidRPr="00536D10" w:rsidRDefault="00D94F69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lastRenderedPageBreak/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D94F69" w:rsidRPr="00FF6026" w:rsidTr="00FF6026">
        <w:tc>
          <w:tcPr>
            <w:tcW w:w="3613" w:type="pct"/>
            <w:shd w:val="clear" w:color="auto" w:fill="FFFFFF"/>
          </w:tcPr>
          <w:p w:rsidR="00D94F69" w:rsidRPr="00536D10" w:rsidRDefault="00D94F69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 xml:space="preserve">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Дали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Центар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от</w:t>
            </w:r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за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социјална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работа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во случај кога тоа е во интерес на детето, додека траат ризикот и последиците од извршеното насилство,времено  ги ограничува или забранува личните односи и непосредните контакти на детето со родителот со кого не живее заедно,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 w:rsidR="00FC5A86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согласно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член 47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3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од Законот</w:t>
            </w:r>
          </w:p>
        </w:tc>
        <w:tc>
          <w:tcPr>
            <w:tcW w:w="1387" w:type="pct"/>
            <w:shd w:val="clear" w:color="auto" w:fill="FFFFFF"/>
          </w:tcPr>
          <w:p w:rsidR="00D94F69" w:rsidRPr="00536D10" w:rsidRDefault="002C42CF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FC5A86" w:rsidRPr="00FF6026" w:rsidTr="00FF6026">
        <w:tc>
          <w:tcPr>
            <w:tcW w:w="3613" w:type="pct"/>
            <w:shd w:val="clear" w:color="auto" w:fill="FFFFFF"/>
          </w:tcPr>
          <w:p w:rsidR="00FC5A86" w:rsidRPr="00536D10" w:rsidRDefault="00FC5A86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Дали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Центар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от</w:t>
            </w:r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за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социјална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работа секогаш кога има сознание дека родово-базираното насилство е сторено од лице кое поседува огнено оружје веднаш го известил Министерството за внатрешни работи, а најдоцна во рок од 24 часа има доставено и писмено известување, согласно член 48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1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од Законот</w:t>
            </w:r>
          </w:p>
        </w:tc>
        <w:tc>
          <w:tcPr>
            <w:tcW w:w="1387" w:type="pct"/>
            <w:shd w:val="clear" w:color="auto" w:fill="FFFFFF"/>
          </w:tcPr>
          <w:p w:rsidR="00FC5A86" w:rsidRPr="00C02AB7" w:rsidRDefault="00FC5A86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FC5A86" w:rsidRPr="00FF6026" w:rsidTr="00FF6026">
        <w:tc>
          <w:tcPr>
            <w:tcW w:w="3613" w:type="pct"/>
            <w:shd w:val="clear" w:color="auto" w:fill="FFFFFF"/>
          </w:tcPr>
          <w:p w:rsidR="00FC5A86" w:rsidRPr="00536D10" w:rsidRDefault="00FC5A86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Дали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Центар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от</w:t>
            </w:r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за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социјална</w:t>
            </w:r>
            <w:proofErr w:type="spellEnd"/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работа секогаш кога има сознание дека  насилството е сторено од лице кое има пристап и ракува со службено огнено оружје веднаш, а најдоцна во рок од 24 часа,има доставено писмено известување до институцијата или правното лице во која лицето е вработено и за истото го известува Министерството за внатрешни работи, согласно член 48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2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од Законот</w:t>
            </w:r>
          </w:p>
        </w:tc>
        <w:tc>
          <w:tcPr>
            <w:tcW w:w="1387" w:type="pct"/>
            <w:shd w:val="clear" w:color="auto" w:fill="FFFFFF"/>
          </w:tcPr>
          <w:p w:rsidR="00FC5A86" w:rsidRPr="00C02AB7" w:rsidRDefault="00FC5A86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CD6E96" w:rsidRPr="00FF6026" w:rsidTr="00FF6026">
        <w:tc>
          <w:tcPr>
            <w:tcW w:w="3613" w:type="pct"/>
            <w:shd w:val="clear" w:color="auto" w:fill="FFFFFF"/>
          </w:tcPr>
          <w:p w:rsidR="00CD6E96" w:rsidRPr="00536D10" w:rsidRDefault="00CD6E96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Дали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Центар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от</w:t>
            </w:r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за социјална работа направил проценка на ризик од сериозна опасност по животот и физичкиот и психичкиот интегритет на жртвата и членовите на нејзиното семејство, проценка на ризик од повторување на насилството со цел управување со ризикот и обезбедување мерки за координирана помош и заштита на жртвата, согласно  член 50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1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од Законот</w:t>
            </w:r>
          </w:p>
        </w:tc>
        <w:tc>
          <w:tcPr>
            <w:tcW w:w="1387" w:type="pct"/>
            <w:shd w:val="clear" w:color="auto" w:fill="FFFFFF"/>
          </w:tcPr>
          <w:p w:rsidR="00CD6E96" w:rsidRPr="00E82978" w:rsidRDefault="00CD6E96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CD6E96" w:rsidRPr="00FF6026" w:rsidTr="00FF6026">
        <w:tc>
          <w:tcPr>
            <w:tcW w:w="3613" w:type="pct"/>
            <w:shd w:val="clear" w:color="auto" w:fill="FFFFFF"/>
          </w:tcPr>
          <w:p w:rsidR="00CD6E96" w:rsidRPr="00536D10" w:rsidRDefault="00CD6E96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Дали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Центар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от</w:t>
            </w:r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за социјална работа проценката на ризик ја направил во првите 12 часа од пријавувањето, како и дали се прави во текот на целата постапка, согласно  член 50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2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од Законот</w:t>
            </w:r>
          </w:p>
        </w:tc>
        <w:tc>
          <w:tcPr>
            <w:tcW w:w="1387" w:type="pct"/>
            <w:shd w:val="clear" w:color="auto" w:fill="FFFFFF"/>
          </w:tcPr>
          <w:p w:rsidR="00CD6E96" w:rsidRPr="00E82978" w:rsidRDefault="00CD6E96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CD6E96" w:rsidRPr="00FF6026" w:rsidTr="00FF6026">
        <w:tc>
          <w:tcPr>
            <w:tcW w:w="3613" w:type="pct"/>
            <w:shd w:val="clear" w:color="auto" w:fill="FFFFFF"/>
          </w:tcPr>
          <w:p w:rsidR="00CD6E96" w:rsidRPr="00536D10" w:rsidRDefault="00CD6E96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Дали </w:t>
            </w:r>
            <w:proofErr w:type="spellStart"/>
            <w:r w:rsidRPr="00536D10">
              <w:rPr>
                <w:rFonts w:ascii="StobiSerif Regular" w:hAnsi="StobiSerif Regular"/>
                <w:sz w:val="20"/>
                <w:szCs w:val="20"/>
              </w:rPr>
              <w:t>Центар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от</w:t>
            </w:r>
            <w:r w:rsidRPr="00536D10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за социјална работа формирал мултисекторски стручен тим, со цел преземање координирани активности во обезбедување на помош на жртвата во согласност со нејзините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потреби, согласно член 55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2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од Законот</w:t>
            </w:r>
          </w:p>
        </w:tc>
        <w:tc>
          <w:tcPr>
            <w:tcW w:w="1387" w:type="pct"/>
            <w:shd w:val="clear" w:color="auto" w:fill="FFFFFF"/>
          </w:tcPr>
          <w:p w:rsidR="00CD6E96" w:rsidRPr="00E82978" w:rsidRDefault="00CD6E96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lastRenderedPageBreak/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CD6E96" w:rsidRPr="00FF6026" w:rsidTr="00FF6026">
        <w:tc>
          <w:tcPr>
            <w:tcW w:w="3613" w:type="pct"/>
            <w:shd w:val="clear" w:color="auto" w:fill="FFFFFF"/>
          </w:tcPr>
          <w:p w:rsidR="00CD6E96" w:rsidRPr="00536D10" w:rsidRDefault="00CD6E96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 xml:space="preserve"> Во случај кога постои сознание за загрозување на животот и здравјето на детето, д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>али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мултисекторскиот стручен тим во безбедносниот план за помош на родителот, предвидува и мерки и активности кои треба да се спроведат за помош на детето, согласно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член 55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4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од Законот</w:t>
            </w:r>
          </w:p>
        </w:tc>
        <w:tc>
          <w:tcPr>
            <w:tcW w:w="1387" w:type="pct"/>
            <w:shd w:val="clear" w:color="auto" w:fill="FFFFFF"/>
          </w:tcPr>
          <w:p w:rsidR="00CD6E96" w:rsidRPr="00E82978" w:rsidRDefault="00CD6E96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CD6E96" w:rsidRPr="00FF6026" w:rsidTr="00FF6026">
        <w:tc>
          <w:tcPr>
            <w:tcW w:w="3613" w:type="pct"/>
            <w:shd w:val="clear" w:color="auto" w:fill="FFFFFF"/>
          </w:tcPr>
          <w:p w:rsidR="00CD6E96" w:rsidRPr="00536D10" w:rsidRDefault="00CD6E96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Дали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Центарот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социјална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има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поднесено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предлог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изрекување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привремена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мерка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заштита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од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членот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58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од овој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Закон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до надлежниот суд со согласност на жртвата, согласно член 5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9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3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од Законот</w:t>
            </w:r>
          </w:p>
        </w:tc>
        <w:tc>
          <w:tcPr>
            <w:tcW w:w="1387" w:type="pct"/>
            <w:shd w:val="clear" w:color="auto" w:fill="FFFFFF"/>
          </w:tcPr>
          <w:p w:rsidR="00CD6E96" w:rsidRPr="00545F93" w:rsidRDefault="00CD6E96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CD6E96" w:rsidRPr="00FF6026" w:rsidTr="00FF6026">
        <w:tc>
          <w:tcPr>
            <w:tcW w:w="3613" w:type="pct"/>
            <w:shd w:val="clear" w:color="auto" w:fill="FFFFFF"/>
          </w:tcPr>
          <w:p w:rsidR="00CD6E96" w:rsidRPr="00536D10" w:rsidRDefault="00CD6E96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Дали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Центарот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социјална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задолжително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има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поднесено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предлог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изрекување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привремена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мерка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заштита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од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членот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58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од овој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Закон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, во име на деца и деловно неспособни лица секогаш кога родителот, старателот или законскиот застапник тоа нема да го сторат и без нивна согласност, согласно член 5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9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5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од Законот</w:t>
            </w:r>
          </w:p>
        </w:tc>
        <w:tc>
          <w:tcPr>
            <w:tcW w:w="1387" w:type="pct"/>
            <w:shd w:val="clear" w:color="auto" w:fill="FFFFFF"/>
          </w:tcPr>
          <w:p w:rsidR="00CD6E96" w:rsidRPr="00545F93" w:rsidRDefault="00CD6E96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CD6E96" w:rsidRPr="00FF6026" w:rsidTr="00FF6026">
        <w:tc>
          <w:tcPr>
            <w:tcW w:w="3613" w:type="pct"/>
            <w:shd w:val="clear" w:color="auto" w:fill="FFFFFF"/>
          </w:tcPr>
          <w:p w:rsidR="00CD6E96" w:rsidRPr="00536D10" w:rsidRDefault="00CD6E96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Дали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Центарот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социјална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во 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предлог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от до судот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изрекување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привремена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мерка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заштита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од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членот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58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од овој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Закон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, за  дете  предложил привремената мерка за заштита да се однесува и за родителот со кого детето живее, во случаи кога тоа го бараат интересите на детето за негова заштита и безбедност, согласно член 5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9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6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од Законот</w:t>
            </w:r>
          </w:p>
        </w:tc>
        <w:tc>
          <w:tcPr>
            <w:tcW w:w="1387" w:type="pct"/>
            <w:shd w:val="clear" w:color="auto" w:fill="FFFFFF"/>
          </w:tcPr>
          <w:p w:rsidR="00CD6E96" w:rsidRPr="00545F93" w:rsidRDefault="00CD6E96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CD6E96" w:rsidRPr="00FF6026" w:rsidTr="00FF6026">
        <w:tc>
          <w:tcPr>
            <w:tcW w:w="3613" w:type="pct"/>
            <w:shd w:val="clear" w:color="auto" w:fill="FFFFFF"/>
          </w:tcPr>
          <w:p w:rsidR="00CD6E96" w:rsidRPr="00536D10" w:rsidRDefault="00CD6E96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Дали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Центарот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социјална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го следи извршувањето на изречената привремена мерка/ки за заштита од членот 58 од овој закон, согласно  член 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75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1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од Законот</w:t>
            </w:r>
          </w:p>
        </w:tc>
        <w:tc>
          <w:tcPr>
            <w:tcW w:w="1387" w:type="pct"/>
            <w:shd w:val="clear" w:color="auto" w:fill="FFFFFF"/>
          </w:tcPr>
          <w:p w:rsidR="00CD6E96" w:rsidRPr="005339A7" w:rsidRDefault="00CD6E96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CD6E96" w:rsidRPr="00FF6026" w:rsidTr="00FF6026">
        <w:tc>
          <w:tcPr>
            <w:tcW w:w="3613" w:type="pct"/>
            <w:shd w:val="clear" w:color="auto" w:fill="FFFFFF"/>
          </w:tcPr>
          <w:p w:rsidR="00CD6E96" w:rsidRPr="00536D10" w:rsidRDefault="00CD6E96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Дали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Центарот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социјална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го следи извршувањето на изречената привремена мерка/ки за заштита од членот 58 од овој закон и дали соработува со граѓани, правни лица, институции и здруженија, согласно член 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75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1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и 2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>од Законот</w:t>
            </w:r>
          </w:p>
        </w:tc>
        <w:tc>
          <w:tcPr>
            <w:tcW w:w="1387" w:type="pct"/>
            <w:shd w:val="clear" w:color="auto" w:fill="FFFFFF"/>
          </w:tcPr>
          <w:p w:rsidR="00CD6E96" w:rsidRPr="005339A7" w:rsidRDefault="00CD6E96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CD6E96" w:rsidRPr="00FF6026" w:rsidTr="00FF6026">
        <w:tc>
          <w:tcPr>
            <w:tcW w:w="3613" w:type="pct"/>
            <w:shd w:val="clear" w:color="auto" w:fill="FFFFFF"/>
          </w:tcPr>
          <w:p w:rsidR="00CD6E96" w:rsidRPr="00536D10" w:rsidRDefault="00CD6E96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Дали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Центарот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социјална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го известува судот за текот и ефектите од извршувањето на изречената привремена мерка/ки за заштита, согласно  член 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75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 </w:t>
            </w:r>
            <w:r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>од Законот</w:t>
            </w:r>
          </w:p>
        </w:tc>
        <w:tc>
          <w:tcPr>
            <w:tcW w:w="1387" w:type="pct"/>
            <w:shd w:val="clear" w:color="auto" w:fill="FFFFFF"/>
          </w:tcPr>
          <w:p w:rsidR="00CD6E96" w:rsidRPr="005339A7" w:rsidRDefault="00CD6E96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  <w:tr w:rsidR="00CD6E96" w:rsidRPr="00FF6026" w:rsidTr="00FF6026">
        <w:tc>
          <w:tcPr>
            <w:tcW w:w="3613" w:type="pct"/>
            <w:shd w:val="clear" w:color="auto" w:fill="FFFFFF"/>
          </w:tcPr>
          <w:p w:rsidR="00CD6E96" w:rsidRPr="00536D10" w:rsidRDefault="00BF639B" w:rsidP="002159C3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lastRenderedPageBreak/>
              <w:t>Дали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Центарот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социјална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веднаш</w:t>
            </w: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го известува судот за непочитување или прекршување на изречената привремена мерка за заштита од членот 58 од овој закон, согласно</w:t>
            </w:r>
            <w:r w:rsidR="00CD6E96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член </w:t>
            </w:r>
            <w:r w:rsidR="00CD6E96">
              <w:rPr>
                <w:rFonts w:ascii="StobiSerif Regular" w:hAnsi="StobiSerif Regular"/>
                <w:sz w:val="20"/>
                <w:szCs w:val="20"/>
                <w:lang w:val="en-US"/>
              </w:rPr>
              <w:t>7</w:t>
            </w:r>
            <w:r w:rsidR="00CD6E96">
              <w:rPr>
                <w:rFonts w:ascii="StobiSerif Regular" w:hAnsi="StobiSerif Regular"/>
                <w:sz w:val="20"/>
                <w:szCs w:val="20"/>
                <w:lang w:val="mk-MK"/>
              </w:rPr>
              <w:t>8</w:t>
            </w:r>
            <w:r w:rsidR="00CD6E96"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став </w:t>
            </w:r>
            <w:r w:rsidR="00CD6E96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 </w:t>
            </w:r>
            <w:r w:rsidR="00CD6E96" w:rsidRPr="00536D10">
              <w:rPr>
                <w:rFonts w:ascii="StobiSerif Regular" w:hAnsi="StobiSerif Regular"/>
                <w:sz w:val="20"/>
                <w:szCs w:val="20"/>
                <w:lang w:val="mk-MK"/>
              </w:rPr>
              <w:t>од Законот</w:t>
            </w:r>
          </w:p>
        </w:tc>
        <w:tc>
          <w:tcPr>
            <w:tcW w:w="1387" w:type="pct"/>
            <w:shd w:val="clear" w:color="auto" w:fill="FFFFFF"/>
          </w:tcPr>
          <w:p w:rsidR="00CD6E96" w:rsidRPr="005339A7" w:rsidRDefault="00BF639B" w:rsidP="002159C3">
            <w:pPr>
              <w:jc w:val="both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F6026">
              <w:rPr>
                <w:bCs/>
                <w:lang w:val="mk-MK"/>
              </w:rPr>
              <w:t xml:space="preserve">Да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  <w:r w:rsidRPr="00FF6026">
              <w:rPr>
                <w:bCs/>
                <w:lang w:val="mk-MK"/>
              </w:rPr>
              <w:t xml:space="preserve">  Не </w:t>
            </w:r>
            <w:r w:rsidRPr="00FF6026">
              <w:rPr>
                <w:rFonts w:ascii="MS Gothic" w:eastAsia="MS Gothic" w:hAnsi="MS Gothic" w:hint="eastAsia"/>
                <w:bCs/>
                <w:lang w:val="mk-MK"/>
              </w:rPr>
              <w:t>☐</w:t>
            </w:r>
          </w:p>
        </w:tc>
      </w:tr>
    </w:tbl>
    <w:p w:rsidR="006D5ED2" w:rsidRPr="00BF6A54" w:rsidRDefault="006D5ED2" w:rsidP="002159C3">
      <w:pPr>
        <w:shd w:val="clear" w:color="auto" w:fill="FFFFFF"/>
        <w:jc w:val="both"/>
        <w:rPr>
          <w:lang w:val="mk-MK"/>
        </w:rPr>
      </w:pPr>
    </w:p>
    <w:sectPr w:rsidR="006D5ED2" w:rsidRPr="00BF6A54" w:rsidSect="003169E3"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554270"/>
    <w:multiLevelType w:val="hybridMultilevel"/>
    <w:tmpl w:val="7204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A180A"/>
    <w:multiLevelType w:val="hybridMultilevel"/>
    <w:tmpl w:val="7204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1F0"/>
    <w:rsid w:val="00002D17"/>
    <w:rsid w:val="000103D1"/>
    <w:rsid w:val="000152F5"/>
    <w:rsid w:val="00050F2A"/>
    <w:rsid w:val="00051230"/>
    <w:rsid w:val="00061669"/>
    <w:rsid w:val="00067A61"/>
    <w:rsid w:val="0007215E"/>
    <w:rsid w:val="00087273"/>
    <w:rsid w:val="000965A9"/>
    <w:rsid w:val="000A16FB"/>
    <w:rsid w:val="000A3122"/>
    <w:rsid w:val="000E75FE"/>
    <w:rsid w:val="000F2337"/>
    <w:rsid w:val="000F2CA4"/>
    <w:rsid w:val="00101B4C"/>
    <w:rsid w:val="00105E0A"/>
    <w:rsid w:val="00112228"/>
    <w:rsid w:val="00141867"/>
    <w:rsid w:val="00152092"/>
    <w:rsid w:val="001522FE"/>
    <w:rsid w:val="001649F7"/>
    <w:rsid w:val="00173B14"/>
    <w:rsid w:val="00183804"/>
    <w:rsid w:val="001B5859"/>
    <w:rsid w:val="001D3A66"/>
    <w:rsid w:val="001E4774"/>
    <w:rsid w:val="001F1A70"/>
    <w:rsid w:val="0020583B"/>
    <w:rsid w:val="002058FE"/>
    <w:rsid w:val="0020732E"/>
    <w:rsid w:val="00213574"/>
    <w:rsid w:val="002159C3"/>
    <w:rsid w:val="00223AB2"/>
    <w:rsid w:val="00226A60"/>
    <w:rsid w:val="002411B6"/>
    <w:rsid w:val="00256B3D"/>
    <w:rsid w:val="00274F7C"/>
    <w:rsid w:val="002962B4"/>
    <w:rsid w:val="002A0312"/>
    <w:rsid w:val="002A2CBC"/>
    <w:rsid w:val="002B3B7B"/>
    <w:rsid w:val="002C2007"/>
    <w:rsid w:val="002C42CF"/>
    <w:rsid w:val="002C42FC"/>
    <w:rsid w:val="002D77EC"/>
    <w:rsid w:val="002E4EF3"/>
    <w:rsid w:val="00303F60"/>
    <w:rsid w:val="003054E5"/>
    <w:rsid w:val="003169E3"/>
    <w:rsid w:val="003243A6"/>
    <w:rsid w:val="00331A59"/>
    <w:rsid w:val="003410FD"/>
    <w:rsid w:val="00341475"/>
    <w:rsid w:val="0034527D"/>
    <w:rsid w:val="003550C0"/>
    <w:rsid w:val="0037144D"/>
    <w:rsid w:val="00376F00"/>
    <w:rsid w:val="0038684F"/>
    <w:rsid w:val="003922A6"/>
    <w:rsid w:val="003B0140"/>
    <w:rsid w:val="003C3A9E"/>
    <w:rsid w:val="003D2C57"/>
    <w:rsid w:val="003E12D9"/>
    <w:rsid w:val="0040225A"/>
    <w:rsid w:val="00414C5D"/>
    <w:rsid w:val="00416D6A"/>
    <w:rsid w:val="004445F6"/>
    <w:rsid w:val="004515D2"/>
    <w:rsid w:val="00474B30"/>
    <w:rsid w:val="00486251"/>
    <w:rsid w:val="00490160"/>
    <w:rsid w:val="004930A2"/>
    <w:rsid w:val="004B21A3"/>
    <w:rsid w:val="004C5325"/>
    <w:rsid w:val="004C6AF9"/>
    <w:rsid w:val="004D335B"/>
    <w:rsid w:val="004E30C4"/>
    <w:rsid w:val="00501C25"/>
    <w:rsid w:val="0050441E"/>
    <w:rsid w:val="005132F5"/>
    <w:rsid w:val="00517236"/>
    <w:rsid w:val="0052632D"/>
    <w:rsid w:val="00526D4E"/>
    <w:rsid w:val="005341A0"/>
    <w:rsid w:val="00552CD0"/>
    <w:rsid w:val="005725CB"/>
    <w:rsid w:val="00576435"/>
    <w:rsid w:val="00576576"/>
    <w:rsid w:val="00580DE9"/>
    <w:rsid w:val="00580DF9"/>
    <w:rsid w:val="005871BD"/>
    <w:rsid w:val="005932AA"/>
    <w:rsid w:val="005969A4"/>
    <w:rsid w:val="005A2ADF"/>
    <w:rsid w:val="005C1B99"/>
    <w:rsid w:val="005E7493"/>
    <w:rsid w:val="005F532B"/>
    <w:rsid w:val="005F6BD1"/>
    <w:rsid w:val="00603CF1"/>
    <w:rsid w:val="00605879"/>
    <w:rsid w:val="00606447"/>
    <w:rsid w:val="0061590E"/>
    <w:rsid w:val="00625848"/>
    <w:rsid w:val="006307E6"/>
    <w:rsid w:val="006326FB"/>
    <w:rsid w:val="0064301E"/>
    <w:rsid w:val="006454C0"/>
    <w:rsid w:val="00650221"/>
    <w:rsid w:val="00650681"/>
    <w:rsid w:val="00656A42"/>
    <w:rsid w:val="00671A4D"/>
    <w:rsid w:val="00672D76"/>
    <w:rsid w:val="00680CB9"/>
    <w:rsid w:val="006832D3"/>
    <w:rsid w:val="006A2A9D"/>
    <w:rsid w:val="006D1CB4"/>
    <w:rsid w:val="006D5ED2"/>
    <w:rsid w:val="006F1DE9"/>
    <w:rsid w:val="00700A38"/>
    <w:rsid w:val="00717EF6"/>
    <w:rsid w:val="0073174F"/>
    <w:rsid w:val="00757B99"/>
    <w:rsid w:val="00762AA2"/>
    <w:rsid w:val="00795FED"/>
    <w:rsid w:val="007A00D7"/>
    <w:rsid w:val="007A1E80"/>
    <w:rsid w:val="007A3F8A"/>
    <w:rsid w:val="007A4672"/>
    <w:rsid w:val="007A7231"/>
    <w:rsid w:val="007B2F36"/>
    <w:rsid w:val="007B632E"/>
    <w:rsid w:val="007C7D74"/>
    <w:rsid w:val="007D71F0"/>
    <w:rsid w:val="007E1467"/>
    <w:rsid w:val="007E5A3E"/>
    <w:rsid w:val="00837C0E"/>
    <w:rsid w:val="00873696"/>
    <w:rsid w:val="00883C8B"/>
    <w:rsid w:val="008D552A"/>
    <w:rsid w:val="008D5EC3"/>
    <w:rsid w:val="009021F4"/>
    <w:rsid w:val="009025E8"/>
    <w:rsid w:val="009106D3"/>
    <w:rsid w:val="00930E08"/>
    <w:rsid w:val="009448CF"/>
    <w:rsid w:val="00945E9B"/>
    <w:rsid w:val="00946899"/>
    <w:rsid w:val="00976C7B"/>
    <w:rsid w:val="009D48A5"/>
    <w:rsid w:val="009D6C4B"/>
    <w:rsid w:val="009F0173"/>
    <w:rsid w:val="009F4338"/>
    <w:rsid w:val="00A05E62"/>
    <w:rsid w:val="00A20F1C"/>
    <w:rsid w:val="00A24006"/>
    <w:rsid w:val="00A420D9"/>
    <w:rsid w:val="00A5161E"/>
    <w:rsid w:val="00A556E2"/>
    <w:rsid w:val="00A66AE2"/>
    <w:rsid w:val="00A70A49"/>
    <w:rsid w:val="00A74A77"/>
    <w:rsid w:val="00A9060D"/>
    <w:rsid w:val="00AA6789"/>
    <w:rsid w:val="00AB07FF"/>
    <w:rsid w:val="00AD0235"/>
    <w:rsid w:val="00AE367A"/>
    <w:rsid w:val="00B35030"/>
    <w:rsid w:val="00B454BC"/>
    <w:rsid w:val="00B525BB"/>
    <w:rsid w:val="00B55E6D"/>
    <w:rsid w:val="00B82C13"/>
    <w:rsid w:val="00B87DF9"/>
    <w:rsid w:val="00B92B1D"/>
    <w:rsid w:val="00BA2C9D"/>
    <w:rsid w:val="00BF639B"/>
    <w:rsid w:val="00BF6A54"/>
    <w:rsid w:val="00C072CB"/>
    <w:rsid w:val="00C14C10"/>
    <w:rsid w:val="00C16E24"/>
    <w:rsid w:val="00C23553"/>
    <w:rsid w:val="00C23E12"/>
    <w:rsid w:val="00C24104"/>
    <w:rsid w:val="00C24996"/>
    <w:rsid w:val="00C42CF6"/>
    <w:rsid w:val="00C433DC"/>
    <w:rsid w:val="00C44620"/>
    <w:rsid w:val="00C4683C"/>
    <w:rsid w:val="00C57B84"/>
    <w:rsid w:val="00C6164C"/>
    <w:rsid w:val="00C71412"/>
    <w:rsid w:val="00C7712F"/>
    <w:rsid w:val="00C8219D"/>
    <w:rsid w:val="00C90E6B"/>
    <w:rsid w:val="00C96319"/>
    <w:rsid w:val="00CA174A"/>
    <w:rsid w:val="00CB39BD"/>
    <w:rsid w:val="00CB5845"/>
    <w:rsid w:val="00CC0412"/>
    <w:rsid w:val="00CC07B0"/>
    <w:rsid w:val="00CD6E96"/>
    <w:rsid w:val="00CE2475"/>
    <w:rsid w:val="00CF66F8"/>
    <w:rsid w:val="00D1402A"/>
    <w:rsid w:val="00D33D50"/>
    <w:rsid w:val="00D402A2"/>
    <w:rsid w:val="00D55123"/>
    <w:rsid w:val="00D57014"/>
    <w:rsid w:val="00D572BE"/>
    <w:rsid w:val="00D64247"/>
    <w:rsid w:val="00D66D9C"/>
    <w:rsid w:val="00D701B3"/>
    <w:rsid w:val="00D70EB2"/>
    <w:rsid w:val="00D81DD6"/>
    <w:rsid w:val="00D869AF"/>
    <w:rsid w:val="00D91DF9"/>
    <w:rsid w:val="00D94F69"/>
    <w:rsid w:val="00DA6B3B"/>
    <w:rsid w:val="00DB211E"/>
    <w:rsid w:val="00DD4299"/>
    <w:rsid w:val="00DD59B6"/>
    <w:rsid w:val="00DE03A8"/>
    <w:rsid w:val="00DE22FE"/>
    <w:rsid w:val="00DE7B1D"/>
    <w:rsid w:val="00DF4061"/>
    <w:rsid w:val="00DF44DA"/>
    <w:rsid w:val="00E16751"/>
    <w:rsid w:val="00E36B0C"/>
    <w:rsid w:val="00E72BE9"/>
    <w:rsid w:val="00E747FE"/>
    <w:rsid w:val="00E753CB"/>
    <w:rsid w:val="00E76144"/>
    <w:rsid w:val="00E967B0"/>
    <w:rsid w:val="00EC47CF"/>
    <w:rsid w:val="00EC4E19"/>
    <w:rsid w:val="00EE0623"/>
    <w:rsid w:val="00EE11AB"/>
    <w:rsid w:val="00EE30CE"/>
    <w:rsid w:val="00F06928"/>
    <w:rsid w:val="00F06F96"/>
    <w:rsid w:val="00F1047E"/>
    <w:rsid w:val="00F13BA5"/>
    <w:rsid w:val="00F341F0"/>
    <w:rsid w:val="00F52393"/>
    <w:rsid w:val="00F554DD"/>
    <w:rsid w:val="00F62355"/>
    <w:rsid w:val="00F738CB"/>
    <w:rsid w:val="00F816B2"/>
    <w:rsid w:val="00F84101"/>
    <w:rsid w:val="00F84B9F"/>
    <w:rsid w:val="00F86081"/>
    <w:rsid w:val="00FB33EF"/>
    <w:rsid w:val="00FB4859"/>
    <w:rsid w:val="00FC4A9E"/>
    <w:rsid w:val="00FC5A86"/>
    <w:rsid w:val="00F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3"/>
    <w:pPr>
      <w:spacing w:after="160" w:line="25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169E3"/>
    <w:rPr>
      <w:rFonts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3169E3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3169E3"/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17EF6"/>
    <w:rPr>
      <w:b/>
      <w:bCs/>
    </w:rPr>
  </w:style>
  <w:style w:type="paragraph" w:styleId="ListParagraph">
    <w:name w:val="List Paragraph"/>
    <w:basedOn w:val="Normal"/>
    <w:uiPriority w:val="99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rPr>
      <w:sz w:val="22"/>
      <w:szCs w:val="22"/>
      <w:lang w:val="en-GB"/>
    </w:rPr>
  </w:style>
  <w:style w:type="character" w:styleId="Strong">
    <w:name w:val="Strong"/>
    <w:basedOn w:val="DefaultParagraphFont"/>
    <w:uiPriority w:val="99"/>
    <w:qFormat/>
    <w:rsid w:val="000F233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381E-82BB-4ED9-9DC1-229B44E6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ddimkovska</cp:lastModifiedBy>
  <cp:revision>9</cp:revision>
  <cp:lastPrinted>2020-12-30T11:24:00Z</cp:lastPrinted>
  <dcterms:created xsi:type="dcterms:W3CDTF">2021-04-29T06:35:00Z</dcterms:created>
  <dcterms:modified xsi:type="dcterms:W3CDTF">2021-05-07T06:07:00Z</dcterms:modified>
</cp:coreProperties>
</file>